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7C" w:rsidRDefault="00D04F7C" w:rsidP="00D04F7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Os Milagres de Muhammad</w:t>
      </w:r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Evidência 6: Milagres de Muhammad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Além do maior milagre dado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ele, o Alcorão, o Profeta Muhammad realizou muitos milagres físicos testemunhados por seus contemporâneos. </w:t>
      </w:r>
      <w:proofErr w:type="gramStart"/>
      <w:r>
        <w:rPr>
          <w:color w:val="000000"/>
          <w:sz w:val="26"/>
          <w:szCs w:val="26"/>
        </w:rPr>
        <w:t>Eles foram centenas e, em alguns casos, milhares.</w:t>
      </w:r>
      <w:bookmarkStart w:id="0" w:name="_ftnref14111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"http://www.islamreligion.com/pt/articles/150/" \l "_ftn14111" \o " Os milagres passam de mil. Veja ‘Muqaddima Sharh’ Saheeh Muslim’ de  al-Nawawi e ‘al-Madkhal’ de al-Baihaqi."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  <w:lang w:val="pt-BR"/>
        </w:rPr>
        <w:t>  Os relatos de milagres chegaram até nós através de métodos fortes e confiáveis de transmissão, que não foram equiparados na história mundial.  É como se os milagres fossem realizados na frente de nossos olhos.  O método meticuloso de transmissão é o que nos convence que Muhammad de fato realizou esses grandes milagres com a ajuda divina e, portanto, podemos acreditar quando ele disse,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‘Eu sou Mensageiro de Deus.’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maiores milagres de Muhammad foram testemunhados por milhares de crentes e céticos, após o que versículos do Alcorão foram revelados mencionando os eventos sobrenaturais.  O Alcorão tornou alguns milagres eternos ao gravá-los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consciência dos crentes.  </w:t>
      </w:r>
      <w:proofErr w:type="gramStart"/>
      <w:r>
        <w:rPr>
          <w:color w:val="000000"/>
          <w:sz w:val="26"/>
          <w:szCs w:val="26"/>
        </w:rPr>
        <w:t>Os antigos detratores simplesmente se mantinham em silêncio quando esses versículos eram recitados.</w:t>
      </w:r>
      <w:proofErr w:type="gramEnd"/>
      <w:r>
        <w:rPr>
          <w:color w:val="000000"/>
          <w:sz w:val="26"/>
          <w:szCs w:val="26"/>
        </w:rPr>
        <w:t xml:space="preserve">  Se esses milagres não tivessem ocorrido, eles teriam aproveitado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oportunidade para desmentir Muhammad.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 oposto aconteceu.  Os crentes ficaram mais certos da verdade de Muhammad e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Alcorão.  O fato de que os crentes ficaram mais fortes em sua fé e o silêncio dos descrentes, que não negaram a sua ocorrência, é reconhecimento de ambos os lados de que os milagres ocorreram exatamente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Alcorão descreve.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Nessa seção discutiremos alguns dos milagres físicos realizados por Muhammad, que Deus o exalte.</w:t>
      </w:r>
      <w:proofErr w:type="gramEnd"/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Milagres vêm de Poder Divino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w-body-text-1char"/>
          <w:color w:val="000000"/>
          <w:sz w:val="26"/>
          <w:szCs w:val="26"/>
        </w:rPr>
        <w:t>Um milagre é um dos fatores que fortalecem a reivindicação de um profeta de Deus.</w:t>
      </w:r>
      <w:proofErr w:type="gramEnd"/>
      <w:r>
        <w:rPr>
          <w:rStyle w:val="w-body-text-1char"/>
          <w:color w:val="000000"/>
          <w:sz w:val="26"/>
          <w:szCs w:val="26"/>
        </w:rPr>
        <w:t xml:space="preserve"> Os milagres não devem ser </w:t>
      </w:r>
      <w:proofErr w:type="gramStart"/>
      <w:r>
        <w:rPr>
          <w:rStyle w:val="w-body-text-1char"/>
          <w:color w:val="000000"/>
          <w:sz w:val="26"/>
          <w:szCs w:val="26"/>
        </w:rPr>
        <w:t>a</w:t>
      </w:r>
      <w:proofErr w:type="gramEnd"/>
      <w:r>
        <w:rPr>
          <w:rStyle w:val="w-body-text-1char"/>
          <w:color w:val="000000"/>
          <w:sz w:val="26"/>
          <w:szCs w:val="26"/>
        </w:rPr>
        <w:t xml:space="preserve"> essência da crença, já que eventos sobrenaturais também podem ocorrer através do uso de magia e de demônios.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body-text-1char"/>
          <w:color w:val="000000"/>
          <w:sz w:val="26"/>
          <w:szCs w:val="26"/>
        </w:rPr>
        <w:t xml:space="preserve">A verdade da missão profética é clara e evidente na própria mensagem trazida, já que Deus instilou a capacidade, embora limitada, nos humanos, para reconhecerem a verdade como ela é, especificamente no caso do monoteísmo. </w:t>
      </w:r>
      <w:proofErr w:type="gramStart"/>
      <w:r>
        <w:rPr>
          <w:rStyle w:val="w-body-text-1char"/>
          <w:color w:val="000000"/>
          <w:sz w:val="26"/>
          <w:szCs w:val="26"/>
        </w:rPr>
        <w:t>Mas para fortalecer ainda mais o argumento da Missão Profética, Deus realizou milagres nas mãos de Seus Profetas, de Moisés, Jesus a Muhammad.</w:t>
      </w:r>
      <w:proofErr w:type="gramEnd"/>
      <w:r>
        <w:rPr>
          <w:rStyle w:val="w-body-text-1char"/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body-text-1char"/>
          <w:color w:val="000000"/>
          <w:sz w:val="26"/>
          <w:szCs w:val="26"/>
        </w:rPr>
        <w:t xml:space="preserve">Por essa razão, Deus não produziu milagres diante da exigência dos habitantes de Meca, </w:t>
      </w:r>
      <w:proofErr w:type="gramStart"/>
      <w:r>
        <w:rPr>
          <w:rStyle w:val="w-body-text-1char"/>
          <w:color w:val="000000"/>
          <w:sz w:val="26"/>
          <w:szCs w:val="26"/>
        </w:rPr>
        <w:t>mas</w:t>
      </w:r>
      <w:proofErr w:type="gramEnd"/>
      <w:r>
        <w:rPr>
          <w:rStyle w:val="w-body-text-1char"/>
          <w:color w:val="000000"/>
          <w:sz w:val="26"/>
          <w:szCs w:val="26"/>
        </w:rPr>
        <w:t xml:space="preserve"> o Deus Sábio deu a Muhammad os milagres que Ele desejava no momento que Ele escolheu:</w:t>
      </w:r>
    </w:p>
    <w:p w:rsidR="00D04F7C" w:rsidRDefault="00D04F7C" w:rsidP="00D04F7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dizem: ‘Não creremos em ti, a menos que nos faças brotar um manancial da terra, ou que possuas um jardim de tamareiras e videiras, em meio ao qual faças brotar </w:t>
      </w:r>
      <w:proofErr w:type="gramStart"/>
      <w:r>
        <w:rPr>
          <w:b/>
          <w:bCs/>
          <w:color w:val="000000"/>
          <w:sz w:val="26"/>
          <w:szCs w:val="26"/>
        </w:rPr>
        <w:t>rios</w:t>
      </w:r>
      <w:proofErr w:type="gramEnd"/>
      <w:r>
        <w:rPr>
          <w:b/>
          <w:bCs/>
          <w:color w:val="000000"/>
          <w:sz w:val="26"/>
          <w:szCs w:val="26"/>
        </w:rPr>
        <w:t xml:space="preserve"> abundantes. Ou que faças cair os céus em pedaços sobre nós, </w:t>
      </w:r>
      <w:proofErr w:type="gramStart"/>
      <w:r>
        <w:rPr>
          <w:b/>
          <w:bCs/>
          <w:color w:val="000000"/>
          <w:sz w:val="26"/>
          <w:szCs w:val="26"/>
        </w:rPr>
        <w:lastRenderedPageBreak/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disseste (que aconteceria), ou nos apresentes Deus e os anjos em pessoa, ou que possuas uma casa adornada com ouro, ou que escales o céus.   Mas jamais creremos na tua </w:t>
      </w:r>
      <w:proofErr w:type="gramStart"/>
      <w:r>
        <w:rPr>
          <w:b/>
          <w:bCs/>
          <w:color w:val="000000"/>
          <w:sz w:val="26"/>
          <w:szCs w:val="26"/>
        </w:rPr>
        <w:t>ascensão,</w:t>
      </w:r>
      <w:proofErr w:type="gramEnd"/>
      <w:r>
        <w:rPr>
          <w:b/>
          <w:bCs/>
          <w:color w:val="000000"/>
          <w:sz w:val="26"/>
          <w:szCs w:val="26"/>
        </w:rPr>
        <w:t xml:space="preserve"> até que nos apresentes um livro que possamos ler.’  Dize-lhes: ‘Glorificado seja o meu Senhor! Sou, porventura, algo mais do que um Mensageiro humano?’’’ (Alcorão 17:90-93)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resposta foi:</w:t>
      </w:r>
    </w:p>
    <w:p w:rsidR="00D04F7C" w:rsidRDefault="00D04F7C" w:rsidP="00D04F7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não enviamos os sinais somente porque os primitivos os desmentiram.</w:t>
      </w:r>
      <w:proofErr w:type="gramEnd"/>
      <w:r>
        <w:rPr>
          <w:b/>
          <w:bCs/>
          <w:color w:val="000000"/>
          <w:sz w:val="26"/>
          <w:szCs w:val="26"/>
        </w:rPr>
        <w:t xml:space="preserve"> Havíamos apresentado ao povo de Tamud a camela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um sinal evidente, e eles a trataram erradamente; porém, jamais enviamos sinais, senão para adverti-los.” (Alcorão 17:59)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Quando demandaram de forma ostensiva, Deus em Sua sabedoria sabia que eles não acreditariam, então Ele se recusou a mostrar-lhes milagres:</w:t>
      </w:r>
    </w:p>
    <w:p w:rsidR="00D04F7C" w:rsidRDefault="00D04F7C" w:rsidP="00D04F7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“Juraram solenemente por Deus que, se lhes chegasse um sinal, creriam nele.</w:t>
      </w:r>
      <w:proofErr w:type="gramEnd"/>
      <w:r>
        <w:rPr>
          <w:b/>
          <w:bCs/>
          <w:color w:val="000000"/>
          <w:sz w:val="26"/>
          <w:szCs w:val="26"/>
        </w:rPr>
        <w:t xml:space="preserve"> Dize-lhes: Os sinais só estão em poder de Deus. </w:t>
      </w:r>
      <w:proofErr w:type="gramStart"/>
      <w:r>
        <w:rPr>
          <w:b/>
          <w:bCs/>
          <w:color w:val="000000"/>
          <w:sz w:val="26"/>
          <w:szCs w:val="26"/>
        </w:rPr>
        <w:t>Porém, quem poderá fazer-vos compreender que, ainda que isto se verificasse, não creriam?</w:t>
      </w:r>
      <w:proofErr w:type="gramEnd"/>
      <w:r>
        <w:rPr>
          <w:b/>
          <w:bCs/>
          <w:color w:val="000000"/>
          <w:sz w:val="26"/>
          <w:szCs w:val="26"/>
        </w:rPr>
        <w:t xml:space="preserve"> Assim confundimos seus corações e seus olhos, </w:t>
      </w:r>
      <w:proofErr w:type="gramStart"/>
      <w:r>
        <w:rPr>
          <w:b/>
          <w:bCs/>
          <w:color w:val="000000"/>
          <w:sz w:val="26"/>
          <w:szCs w:val="26"/>
        </w:rPr>
        <w:t>tal</w:t>
      </w:r>
      <w:proofErr w:type="gramEnd"/>
      <w:r>
        <w:rPr>
          <w:b/>
          <w:bCs/>
          <w:color w:val="000000"/>
          <w:sz w:val="26"/>
          <w:szCs w:val="26"/>
        </w:rPr>
        <w:t xml:space="preserve"> como fizemos quando disso duvidaram pela primeira vez, e os abandonamos, vacilantes, em sua transgressão.”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6:109-110)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Nós reunimos aqui alguns dos maiores milagres físicos realizados pelo Profeta Muhammad.</w:t>
      </w:r>
      <w:proofErr w:type="gramEnd"/>
    </w:p>
    <w:p w:rsidR="00D04F7C" w:rsidRDefault="00D04F7C" w:rsidP="00D04F7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04F7C" w:rsidRDefault="00D04F7C" w:rsidP="00D04F7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04F7C" w:rsidRDefault="00D04F7C" w:rsidP="00D04F7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4111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"http://www.islamreligion.com/pt/articles/150/" \l "_ftnref14111"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Os milagres passam de mil. Veja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Muqaddima Sharh</w:t>
      </w:r>
      <w:r>
        <w:rPr>
          <w:rStyle w:val="w-footnote-textchar"/>
          <w:color w:val="000000"/>
          <w:sz w:val="22"/>
          <w:szCs w:val="22"/>
          <w:lang w:val="pt-BR"/>
        </w:rPr>
        <w:t>’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Saheeh Muslim</w:t>
      </w:r>
      <w:r>
        <w:rPr>
          <w:rStyle w:val="w-footnote-textchar"/>
          <w:color w:val="000000"/>
          <w:sz w:val="22"/>
          <w:szCs w:val="22"/>
          <w:lang w:val="pt-BR"/>
        </w:rPr>
        <w:t>’ de 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al-Nawawi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e 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al-Madkhal</w:t>
      </w:r>
      <w:r>
        <w:rPr>
          <w:rStyle w:val="w-footnote-textchar"/>
          <w:color w:val="000000"/>
          <w:sz w:val="22"/>
          <w:szCs w:val="22"/>
          <w:lang w:val="pt-BR"/>
        </w:rPr>
        <w:t>’ de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al-Baihaqi.</w:t>
      </w:r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Divisão da Lua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das vezes em que Deus realizou milagres nas mãos do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foi quando os habitantes de Meca exigiram ver um milagre de Muhammad para mostrar sua autenticidade.  </w:t>
      </w:r>
      <w:proofErr w:type="gramStart"/>
      <w:r>
        <w:rPr>
          <w:color w:val="000000"/>
          <w:sz w:val="26"/>
          <w:szCs w:val="26"/>
        </w:rPr>
        <w:t>Deus dividiu a lua em duas metades separadas e depois as reuniu.</w:t>
      </w:r>
      <w:proofErr w:type="gramEnd"/>
      <w:r>
        <w:rPr>
          <w:color w:val="000000"/>
          <w:sz w:val="26"/>
          <w:szCs w:val="26"/>
        </w:rPr>
        <w:t>  O Alcorão registrou o evento:</w:t>
      </w:r>
    </w:p>
    <w:p w:rsidR="00D04F7C" w:rsidRDefault="00D04F7C" w:rsidP="00D04F7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“A Hora (do Juízo) se aproxima, e a lua se fendeu.”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54:1)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Muhammad recitava esses versículos do Alcorão em grandes congregações da oração semanal de sexta-feira e nas orações bianuais do Eid.</w:t>
      </w:r>
      <w:bookmarkStart w:id="2" w:name="_ftnref1411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"http://www.islamreligion.com/pt/articles/151/" \l "_ftn14112" \o " Saheeh Muslim."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pt-BR"/>
        </w:rPr>
        <w:t>  Se o evento nunca tivesse acontecido, os próprios muçulmanos teriam duvidado de sua religião e muitos a teriam abandonado!  Os habitantes de Meca teriam dito, ‘Hei, seu profeta é um mentiroso, a lua nunca se dividiu e nós nunca a vimos dividida!’  Ao contrário, os crentes ficaram mais fortes em sua fé e a única explicação que os habitantes de Meca puderam arranjar foi que era ‘um passe de mágica!’</w:t>
      </w:r>
    </w:p>
    <w:p w:rsidR="00D04F7C" w:rsidRDefault="00D04F7C" w:rsidP="00D04F7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 Hora (do Juízo) se aproxima, e a lua se fendeu.”</w:t>
      </w:r>
      <w:proofErr w:type="gramEnd"/>
      <w:r>
        <w:rPr>
          <w:b/>
          <w:bCs/>
          <w:color w:val="000000"/>
          <w:sz w:val="26"/>
          <w:szCs w:val="26"/>
        </w:rPr>
        <w:t xml:space="preserve">  Porém, se presenciam algum sinal, afastam-se, dizendo: É magia reiterada! </w:t>
      </w:r>
      <w:proofErr w:type="gramStart"/>
      <w:r>
        <w:rPr>
          <w:b/>
          <w:bCs/>
          <w:color w:val="000000"/>
          <w:sz w:val="26"/>
          <w:szCs w:val="26"/>
        </w:rPr>
        <w:t>E o rejeitam, e persistem em suas luxúrias; porém, cada coisa terá o seu fim.”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54:1-3)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divisão da lua é confirmada por testemunhos oculares transmitidos através de uma cadeia ininterrupta de eruditos confiáveis.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Foram tantos que é impossível que sejam falsos (</w:t>
      </w:r>
      <w:r>
        <w:rPr>
          <w:i/>
          <w:iCs/>
          <w:color w:val="000000"/>
          <w:sz w:val="26"/>
          <w:szCs w:val="26"/>
        </w:rPr>
        <w:t>hadith mutawatir</w:t>
      </w:r>
      <w:r>
        <w:rPr>
          <w:color w:val="000000"/>
          <w:sz w:val="26"/>
          <w:szCs w:val="26"/>
        </w:rPr>
        <w:t>).</w:t>
      </w:r>
      <w:bookmarkStart w:id="3" w:name="_ftnref1411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"http://www.islamreligion.com/pt/articles/151/" \l "_ftn14113" \o " Ver ‘Nadhm al-Mutanathira min al-Hadith al-Mutawatir,’ de al-Kattani p. 215."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3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 cético pode perguntar se nós temos qualquer evidência histórica independente para sugerir que a lua alguma vez se dividiu.</w:t>
      </w:r>
      <w:proofErr w:type="gramEnd"/>
      <w:r>
        <w:rPr>
          <w:color w:val="000000"/>
          <w:sz w:val="26"/>
          <w:szCs w:val="26"/>
        </w:rPr>
        <w:t>  Afinal, as pessoas ao redor do mundo devem ter visto esse evento maravilhoso e tê-lo registrado.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resposta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essa questão é dada em duas partes.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Primeiro, as pessoas ao redor do mundo não poderiam tê-lo visto já que seria dia, tarde da noite ou muito cedo pela manhã em muitas partes do mundo.  A tabela a seguir dará ao leitor alguma idéia dos horários correspondentes às 9 da noite em Meca em algumas partes do mundo: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1867"/>
      </w:tblGrid>
      <w:tr w:rsidR="00D04F7C" w:rsidTr="00D04F7C">
        <w:trPr>
          <w:jc w:val="center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País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Hora</w:t>
            </w:r>
          </w:p>
        </w:tc>
      </w:tr>
      <w:tr w:rsidR="00D04F7C" w:rsidTr="00D04F7C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Meca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21:00 hs.</w:t>
            </w:r>
          </w:p>
        </w:tc>
      </w:tr>
      <w:tr w:rsidR="00D04F7C" w:rsidTr="00D04F7C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Índia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23:30 hs.</w:t>
            </w:r>
          </w:p>
        </w:tc>
      </w:tr>
      <w:tr w:rsidR="00D04F7C" w:rsidTr="00D04F7C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Perth (Austrália)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2:00 hs.</w:t>
            </w:r>
          </w:p>
        </w:tc>
      </w:tr>
      <w:tr w:rsidR="00D04F7C" w:rsidTr="00D04F7C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Reykjavik (Islândia)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18:00 hs.</w:t>
            </w:r>
          </w:p>
        </w:tc>
      </w:tr>
      <w:tr w:rsidR="00D04F7C" w:rsidTr="00D04F7C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Washington D.C.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14:00 hs.</w:t>
            </w:r>
          </w:p>
        </w:tc>
      </w:tr>
      <w:tr w:rsidR="00D04F7C" w:rsidTr="00D04F7C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Rio de Janeiro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15:00 hs.</w:t>
            </w:r>
          </w:p>
        </w:tc>
      </w:tr>
      <w:tr w:rsidR="00D04F7C" w:rsidTr="00D04F7C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Tóquio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3:00 hs.</w:t>
            </w:r>
          </w:p>
        </w:tc>
      </w:tr>
      <w:tr w:rsidR="00D04F7C" w:rsidTr="00D04F7C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Beijing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7C" w:rsidRDefault="00D04F7C">
            <w:pPr>
              <w:pStyle w:val="w-body-text-1"/>
              <w:spacing w:before="0" w:beforeAutospacing="0" w:after="160" w:afterAutospacing="0"/>
              <w:ind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2:00 hs.</w:t>
            </w:r>
          </w:p>
        </w:tc>
      </w:tr>
    </w:tbl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Além disso, não é provável que um grande número de pessoas nas terras próximas estivessem observando a lua no mesmo exato momento.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Elas não tinham razão para isso.</w:t>
      </w:r>
      <w:proofErr w:type="gramEnd"/>
      <w:r>
        <w:rPr>
          <w:color w:val="000000"/>
          <w:sz w:val="26"/>
          <w:szCs w:val="26"/>
        </w:rPr>
        <w:t xml:space="preserve">  Mesmo se alguém o fez, não significa necessariamente que as pessoas acreditaram nele e mantiveram um registro escrito, especialmente quando muitas civilizações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época não preservavam sua própria história por escrito.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Segundo, nós temos uma corroboração histórica, independente e muito surpreendente do evento, de um rei da Índia daquela época.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Querala é um estado da Índia.</w:t>
      </w:r>
      <w:proofErr w:type="gramEnd"/>
      <w:r>
        <w:rPr>
          <w:color w:val="000000"/>
          <w:sz w:val="26"/>
          <w:szCs w:val="26"/>
        </w:rPr>
        <w:t xml:space="preserve">  O estado se estende 580 quilômetros ao longo da Costa do Malabar no lado sudoeste da península </w:t>
      </w:r>
      <w:proofErr w:type="gramStart"/>
      <w:r>
        <w:rPr>
          <w:color w:val="000000"/>
          <w:sz w:val="26"/>
          <w:szCs w:val="26"/>
        </w:rPr>
        <w:t>indiana</w:t>
      </w:r>
      <w:proofErr w:type="gramEnd"/>
      <w:r>
        <w:rPr>
          <w:color w:val="000000"/>
          <w:sz w:val="26"/>
          <w:szCs w:val="26"/>
        </w:rPr>
        <w:t>.</w:t>
      </w:r>
      <w:bookmarkStart w:id="4" w:name="_ftnref1411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"http://www.islamreligion.com/pt/articles/151/" \l "_ftn14114" \o " \“Kerala.\” Enciclopédia Britânica de Encyclopædia Britannica Premium Service.  (http://www.britannica.com/eb/article-9111226)"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  <w:lang w:val="pt-BR"/>
        </w:rPr>
        <w:t>  O rei Chakrawati Farmas de Malabar era um rei da dinastia Chera, Cheraman Perumal de Cranganor.  Está registrado que ele viu a divisão da lua.  O incidente está documentado em um manuscrito mantido na India Office Library (</w:t>
      </w:r>
      <w:r>
        <w:rPr>
          <w:i/>
          <w:iCs/>
          <w:color w:val="000000"/>
          <w:sz w:val="26"/>
          <w:szCs w:val="26"/>
          <w:lang w:val="pt-BR"/>
        </w:rPr>
        <w:t>Biblioteca da Índia</w:t>
      </w:r>
      <w:r>
        <w:rPr>
          <w:color w:val="000000"/>
          <w:sz w:val="26"/>
          <w:szCs w:val="26"/>
          <w:lang w:val="pt-BR"/>
        </w:rPr>
        <w:t>, em tradução livre), em Londres, com número de referência “Arabic, 2807, 152-173”.</w:t>
      </w:r>
      <w:bookmarkStart w:id="5" w:name="_ftnref1411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"http://www.islamreligion.com/pt/articles/151/" \l "_ftn14115" \o " É citado no livro \“Muhammad Rasulullah,\” de Muhammad Hamidullah: \“Existe uma antiga tradição em Malabar, costa sudoeste da Índia, que Chakrawati Farmas, um de seus reis, observou a divisão da lua, o milagre celebrado do Sagrado Profeta, em Meca, e sabendo que havia uma previsão da chegada de um Mensageiro de Deus na Arábia, nomeou seu filho como regente e partiu para encontrá-lo.  Ele abraçou o Islã nas mãos do Profeta e quando voltava para casa, sob orientação do Profeta, morreu no porto de Zafar, Iêmen, onde a tumba do \“rei indiano\” foi visitada por muitos séculos.\”"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  <w:lang w:val="pt-BR"/>
        </w:rPr>
        <w:t>  Um grupo de mercadores muçulmanos que passava por Malabar em seu caminho para a China falou com o rei sobre como Deus apoiou o profeta árabe com o milagre da divisão da lua.  O rei, chocado, disse que ele também o tinha visto com os seus próprios olhos. Ele delegou o poder ao seu filho e partiu para a Arábia para encontrar o Profeta em pessoa.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rei de Malabar encontrou o Profeta, fez os dois testemunhos de fé, aprendeu os fundamentos da fé, mas morreu no caminho de volta e foi enterrado na cidade do porto de Zafar, Iêmen.</w:t>
      </w:r>
      <w:bookmarkStart w:id="6" w:name="_ftnref1411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"http://www.islamreligion.com/pt/articles/151/" \l "_ftn14116" \o " ‘Zafar: bíblico Sefar, clássico Safar, antigo lugar árabe localizado a sudoeste de Iarim, no sul do Iêmen.  Foi a capital dos Himiaritas, uma tribo que governou boa parte do sul da Arábia de 115 BC até por volta de 525 AD. Até a conquista Persa (c. 575 AD) Zafar era uma das mais importantes e celebradas cidades no sul da Arábia – um fato atestado não somente por geógrafos e historiadores árabes mas também por autores gregos e romanos. Após a extinção do reino de Himiar e o surgimento do Islã, Zafar gradualmente decaiu.’ \“Zafar.\” Enciclopédia Britânica de Encyclopædia Britannica Premium Service. (http://www.britannica.com/eb/article-9078191)"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6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Diz-se que o grupo era liderado por um muçulmano, Malik bin Dinar, e continuou até Cranganor, a capital Chera, e construiu a primeira e mais antiga mesquita da Índia no ano de 629 EC, que continua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existir até hoje.</w:t>
      </w:r>
    </w:p>
    <w:p w:rsidR="00D04F7C" w:rsidRDefault="00D04F7C" w:rsidP="00D04F7C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D04F7C" w:rsidRDefault="00D04F7C" w:rsidP="00D04F7C">
      <w:pPr>
        <w:shd w:val="clear" w:color="auto" w:fill="E1F4FD"/>
        <w:jc w:val="center"/>
        <w:rPr>
          <w:color w:val="000000"/>
        </w:rPr>
      </w:pPr>
      <w:r>
        <w:rPr>
          <w:rFonts w:ascii="Garamond" w:hAnsi="Garamond"/>
          <w:noProof/>
          <w:color w:val="000000"/>
        </w:rPr>
        <w:drawing>
          <wp:inline distT="0" distB="0" distL="0" distR="0">
            <wp:extent cx="3333750" cy="2066925"/>
            <wp:effectExtent l="0" t="0" r="0" b="9525"/>
            <wp:docPr id="24" name="Picture 24" descr="http://www.islamreligion.com/articles_pt/images/The_Miracles_of_Muhammad_(part_2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islamreligion.com/articles_pt/images/The_Miracles_of_Muhammad_(part_2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7C" w:rsidRDefault="00D04F7C" w:rsidP="00D04F7C">
      <w:pPr>
        <w:shd w:val="clear" w:color="auto" w:fill="E1F4FD"/>
        <w:rPr>
          <w:color w:val="000000"/>
        </w:rPr>
      </w:pPr>
      <w:r>
        <w:rPr>
          <w:color w:val="000000"/>
        </w:rPr>
        <w:lastRenderedPageBreak/>
        <w:t> </w:t>
      </w:r>
    </w:p>
    <w:p w:rsidR="00D04F7C" w:rsidRDefault="00D04F7C" w:rsidP="00D04F7C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t>Uma foto da Mesquita Cheraman Juma, a mesquita mais antiga da Índia datando de 629 EC, antes da reforma.</w:t>
      </w:r>
      <w:proofErr w:type="gramEnd"/>
      <w:r>
        <w:rPr>
          <w:color w:val="008000"/>
        </w:rPr>
        <w:t>  Imagem cortesia de</w:t>
      </w:r>
      <w:proofErr w:type="gramStart"/>
      <w:r>
        <w:rPr>
          <w:color w:val="008000"/>
        </w:rPr>
        <w:t>  www.islamicvoice</w:t>
      </w:r>
      <w:r>
        <w:rPr>
          <w:rFonts w:ascii="Garamond" w:hAnsi="Garamond"/>
          <w:color w:val="008000"/>
          <w:lang w:val="pt-BR"/>
        </w:rPr>
        <w:t>.</w:t>
      </w:r>
      <w:r>
        <w:rPr>
          <w:color w:val="008000"/>
        </w:rPr>
        <w:t>com</w:t>
      </w:r>
      <w:proofErr w:type="gramEnd"/>
      <w:r>
        <w:rPr>
          <w:color w:val="008000"/>
        </w:rPr>
        <w:t>.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notícias de sua aceitação do Islã alcançaram Querala, onde as pessoas aceitaram o Islã.  As pessoas de Laquedivas e os habitantes de Calecute, da província de Querala, são convertidos daqueles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>.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3333750" cy="4962525"/>
            <wp:effectExtent l="0" t="0" r="0" b="9525"/>
            <wp:docPr id="23" name="Picture 23" descr="http://www.islamreligion.com/articles_pt/images/The_Miracles_of_Muhammad_(part_2_of_3)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islamreligion.com/articles_pt/images/The_Miracles_of_Muhammad_(part_2_of_3)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7C" w:rsidRDefault="00D04F7C" w:rsidP="00D04F7C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 xml:space="preserve">A Mesquita Cheraman Juma, que recebeu seu nome em homenagem ao primeiro muçulmano convertido da Índia, Cheraman Perumal Chakrawati Farmas, após reforma.  </w:t>
      </w:r>
      <w:proofErr w:type="gramStart"/>
      <w:r>
        <w:rPr>
          <w:color w:val="008000"/>
        </w:rPr>
        <w:t>Imagem cortesia de www.indianholiday.com.</w:t>
      </w:r>
      <w:proofErr w:type="gramEnd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avistamento e o encontro do rei indiano com o Profeta Muhammad também é relatado em fontes islâmicas.  O famoso historiador muçulmano, Ibn Kathir, </w:t>
      </w:r>
      <w:r>
        <w:rPr>
          <w:color w:val="000000"/>
          <w:sz w:val="26"/>
          <w:szCs w:val="26"/>
        </w:rPr>
        <w:lastRenderedPageBreak/>
        <w:t xml:space="preserve">menciona a divisão da lua da forma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ela foi relatada em partes da Índia.</w:t>
      </w:r>
      <w:bookmarkStart w:id="7" w:name="_ftnref1411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"http://www.islamreligion.com/pt/articles/151/" \l "_ftn14117" \o " ‘Al-Bidaya wal-Nihaya,’ de Ibn Kathir, vol 3, p. 130."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color w:val="000000"/>
          <w:sz w:val="26"/>
          <w:szCs w:val="26"/>
          <w:lang w:val="pt-BR"/>
        </w:rPr>
        <w:t>  Os livros de hadith também documentaram a chegada do rei indiano e seu encontro com o Profeta.  Abu Sa’id al-Khudri, um companheiro do Profeta Muhammad, afirma:</w:t>
      </w:r>
    </w:p>
    <w:p w:rsidR="00D04F7C" w:rsidRDefault="00D04F7C" w:rsidP="00D04F7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 rei indiano presenteou o Profeta com um jarro de gengibre.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Os companheiros o comeram aos poucos.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Eu também comi um pedaço.”</w:t>
      </w:r>
      <w:bookmarkStart w:id="8" w:name="_ftnref14118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"http://www.islamreligion.com/pt/articles/151/" \l "_ftn14118" \o " Relatado por Hakim em ‘Mustadrik’ vol 4, p. 150.  Comentários de Hakim, ‘Eu não memorizei qualquer outro relato afirmando que o Profeta comeu gengibre.’"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</w:rPr>
        <w:t>[7]</w:t>
      </w:r>
      <w:r>
        <w:rPr>
          <w:b/>
          <w:bCs/>
          <w:color w:val="000000"/>
          <w:sz w:val="26"/>
          <w:szCs w:val="26"/>
        </w:rPr>
        <w:fldChar w:fldCharType="end"/>
      </w:r>
      <w:bookmarkEnd w:id="8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rei foi então considerado um ‘companheiro’ – um termo usado para uma pessoa que encontrou o Profeta e morreu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muçulmano – com o seu nome registrado nos mega-compêndios que registram os companheiros do Profeta.</w:t>
      </w:r>
      <w:bookmarkStart w:id="9" w:name="_ftnref1411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"http://www.islamreligion.com/pt/articles/151/" \l "_ftn14119" \o " ‘Al-Isaba’ de Ibn Hajr, vol 3.  p. 279 e ‘Lisan ul-Mizan’ de Imam al-Dhahabi, vol. 3 p. 10 sob o nome de ‘Sarbanak’, com o qual os árabes o conheciam."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[8]</w:t>
      </w:r>
      <w:r>
        <w:rPr>
          <w:color w:val="000000"/>
          <w:sz w:val="26"/>
          <w:szCs w:val="26"/>
        </w:rPr>
        <w:fldChar w:fldCharType="end"/>
      </w:r>
      <w:bookmarkEnd w:id="9"/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Viagem Noturna e a Ascensão aos Céus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Poucos meses antes da migração de Meca para Medina, Deus levou Muhammad da Grande Mesquita em Meca para a Mesquita de al-Aqsa em Jerusalém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uma noite, um mês de viagem de 1.230 km para uma caravana.  De Jerusalém ele ascendeu aos céus, passando dos limites do universo físico para estar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presença divina, encontrar Deus, e testemunhar os Grandes Sinais (</w:t>
      </w:r>
      <w:r>
        <w:rPr>
          <w:i/>
          <w:iCs/>
          <w:color w:val="000000"/>
          <w:sz w:val="26"/>
          <w:szCs w:val="26"/>
        </w:rPr>
        <w:t>al-Ayat ul-Kubra</w:t>
      </w:r>
      <w:r>
        <w:rPr>
          <w:color w:val="000000"/>
          <w:sz w:val="26"/>
          <w:szCs w:val="26"/>
        </w:rPr>
        <w:t xml:space="preserve">).  </w:t>
      </w:r>
      <w:proofErr w:type="gramStart"/>
      <w:r>
        <w:rPr>
          <w:color w:val="000000"/>
          <w:sz w:val="26"/>
          <w:szCs w:val="26"/>
        </w:rPr>
        <w:t>Sua verdade se tornou aparente de duas formas.</w:t>
      </w:r>
      <w:proofErr w:type="gramEnd"/>
      <w:r>
        <w:rPr>
          <w:color w:val="000000"/>
          <w:sz w:val="26"/>
          <w:szCs w:val="26"/>
        </w:rPr>
        <w:t xml:space="preserve">  Primeiro, ‘o Profeta descreveu as caravanas que tinha ultrapassado no caminho para casa, disse onde estavam e quando poderiam ser esperadas em Meca; cada uma chegou conforme previsto, e os detalhes foram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ele havia descrito.’</w:t>
      </w:r>
      <w:bookmarkStart w:id="10" w:name="_ftnref1412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"http://www.islamreligion.com/pt/articles/151/" \l "_ftn14120" \o " ‘Muhammad: His Life Based on the Earliest Sources’ (Muhammad: Sua Vida Baseada nas Primeiras Fontes, em tradução livre) de Martin Lings, p. 103."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[9]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color w:val="000000"/>
          <w:sz w:val="26"/>
          <w:szCs w:val="26"/>
          <w:lang w:val="pt-BR"/>
        </w:rPr>
        <w:t>  Segundo, nunca se soube que ele tivesse estado em Jerusalém e ainda assim ele descreveu a Mesquita de al-Aqsa para os céticos como se fosse uma testemunha ocular.</w:t>
      </w:r>
    </w:p>
    <w:p w:rsidR="00D04F7C" w:rsidRDefault="00D04F7C" w:rsidP="00D04F7C">
      <w:pPr>
        <w:shd w:val="clear" w:color="auto" w:fill="E1F4FD"/>
        <w:jc w:val="center"/>
        <w:rPr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333750" cy="4914900"/>
            <wp:effectExtent l="0" t="0" r="0" b="0"/>
            <wp:docPr id="22" name="Picture 22" descr="http://www.islamreligion.com/articles_pt/images/The_Miracles_of_Muhammad_(part_2_of_3)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islamreligion.com/articles_pt/images/The_Miracles_of_Muhammad_(part_2_of_3)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7C" w:rsidRDefault="00D04F7C" w:rsidP="00D04F7C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D04F7C" w:rsidRDefault="00D04F7C" w:rsidP="00D04F7C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viagem mística é mencionada no Alcorão:</w:t>
      </w:r>
    </w:p>
    <w:p w:rsidR="00D04F7C" w:rsidRDefault="00D04F7C" w:rsidP="00D04F7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“Glorificado seja Aquele que, durante a noite, transportou o Seu servo, tirando-o da Sagrada Mesquita (em Meca) e levando-o à Mesquita de Al-Aqsa (em Jerusalém), cujo recinto bendizemos, para mostrar-lhe alguns dos Nossos sinais. </w:t>
      </w:r>
      <w:proofErr w:type="gramStart"/>
      <w:r>
        <w:rPr>
          <w:b/>
          <w:bCs/>
          <w:color w:val="000000"/>
          <w:sz w:val="26"/>
          <w:szCs w:val="26"/>
        </w:rPr>
        <w:t>Sabei que Ele é Oniouvinte, o Onividente.”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17:1)</w:t>
      </w:r>
    </w:p>
    <w:p w:rsidR="00D04F7C" w:rsidRDefault="00D04F7C" w:rsidP="00D04F7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“Disputareis, acaso, sobre o que ele viu?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Realmente o viu, numa Segunda descida, junto ao limite da árvore de lótus, próxima a qual está o jardim da morada (eterna).</w:t>
      </w:r>
      <w:proofErr w:type="gramEnd"/>
      <w:r>
        <w:rPr>
          <w:b/>
          <w:bCs/>
          <w:color w:val="000000"/>
          <w:sz w:val="26"/>
          <w:szCs w:val="26"/>
        </w:rPr>
        <w:t xml:space="preserve"> Quando aquela coisa envolvente cobriu a árvore de lótus,</w:t>
      </w:r>
      <w:proofErr w:type="gramStart"/>
      <w:r>
        <w:rPr>
          <w:b/>
          <w:bCs/>
          <w:color w:val="000000"/>
          <w:sz w:val="26"/>
          <w:szCs w:val="26"/>
        </w:rPr>
        <w:t>  não</w:t>
      </w:r>
      <w:proofErr w:type="gramEnd"/>
      <w:r>
        <w:rPr>
          <w:b/>
          <w:bCs/>
          <w:color w:val="000000"/>
          <w:sz w:val="26"/>
          <w:szCs w:val="26"/>
        </w:rPr>
        <w:t xml:space="preserve"> desviou o olhar, nem transgrediu.  Em verdade, presenciou os maiores sinais do seu Senhor.” (Alcorão 53:12-18)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 evento também é confirmado por testemunhos oculares transmitidos através dos tempos com uma cadeia ininterrupta de eruditos confiáveis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(hadith mutawatir)</w:t>
      </w:r>
      <w:r>
        <w:rPr>
          <w:color w:val="000000"/>
          <w:sz w:val="26"/>
          <w:szCs w:val="26"/>
        </w:rPr>
        <w:t>.</w:t>
      </w:r>
      <w:bookmarkStart w:id="11" w:name="_ftnref1412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"http://www.islamreligion.com/pt/articles/151/" \l "_ftn14121" \o " Quarenta e cinco companheiros do Profeta transmitiram os relatos sobre sua Viagem Noturna e a Ascensão aos Céus.  Veja os trabalhos dos mestres em hadith: ‘Azhar al-Mutanathira fi al-Ahadith al-Mutawatira’ de al-Suyuti p. 263 e ‘Nadhm al-Mutanathira min al-Hadith al-Mutawatir,’ de al-Kattani p. 207."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11"/>
    </w:p>
    <w:p w:rsidR="00D04F7C" w:rsidRDefault="00D04F7C" w:rsidP="00D04F7C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D04F7C" w:rsidRDefault="00D04F7C" w:rsidP="00D04F7C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D04F7C" w:rsidRDefault="00D04F7C" w:rsidP="00D04F7C">
      <w:pPr>
        <w:shd w:val="clear" w:color="auto" w:fill="E1F4FD"/>
        <w:jc w:val="center"/>
        <w:rPr>
          <w:color w:val="000000"/>
        </w:rPr>
      </w:pPr>
      <w:r>
        <w:rPr>
          <w:rFonts w:ascii="Garamond" w:hAnsi="Garamond"/>
          <w:noProof/>
          <w:color w:val="000000"/>
        </w:rPr>
        <w:drawing>
          <wp:inline distT="0" distB="0" distL="0" distR="0">
            <wp:extent cx="3333750" cy="2505075"/>
            <wp:effectExtent l="0" t="0" r="0" b="9525"/>
            <wp:docPr id="21" name="Picture 21" descr="http://www.islamreligion.com/articles_pt/images/The_Miracles_of_Muhammad_(part_2_of_3)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islamreligion.com/articles_pt/images/The_Miracles_of_Muhammad_(part_2_of_3)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7C" w:rsidRDefault="00D04F7C" w:rsidP="00D04F7C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D04F7C" w:rsidRDefault="00D04F7C" w:rsidP="00D04F7C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t>Entrada da Mesquita de Al-Aqsa de onde Muhammad ascendeu aos céus.</w:t>
      </w:r>
      <w:proofErr w:type="gramEnd"/>
      <w:r>
        <w:rPr>
          <w:color w:val="008000"/>
        </w:rPr>
        <w:t xml:space="preserve">  </w:t>
      </w:r>
      <w:proofErr w:type="gramStart"/>
      <w:r>
        <w:rPr>
          <w:color w:val="008000"/>
        </w:rPr>
        <w:t>Foto cortesia de Thekra A. Sabri.</w:t>
      </w:r>
      <w:proofErr w:type="gramEnd"/>
    </w:p>
    <w:p w:rsidR="00D04F7C" w:rsidRDefault="00D04F7C" w:rsidP="00D04F7C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D04F7C" w:rsidRDefault="00D04F7C" w:rsidP="00D04F7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04F7C" w:rsidRDefault="00D04F7C" w:rsidP="00D04F7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04F7C" w:rsidRDefault="00D04F7C" w:rsidP="00D04F7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2" w:name="_ftn14112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"_ftnref14112"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Muslim</w:t>
      </w:r>
      <w:r>
        <w:rPr>
          <w:color w:val="000000"/>
          <w:sz w:val="22"/>
          <w:szCs w:val="22"/>
        </w:rPr>
        <w:t>.</w:t>
      </w:r>
    </w:p>
    <w:bookmarkStart w:id="13" w:name="_ftn14113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"_ftnref14113"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Ver 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Nadhm al-Mutanathira min al-Hadith al-Mutawatir</w:t>
      </w:r>
      <w:r>
        <w:rPr>
          <w:rStyle w:val="w-footnote-textchar"/>
          <w:color w:val="000000"/>
          <w:sz w:val="22"/>
          <w:szCs w:val="22"/>
          <w:lang w:val="pt-BR"/>
        </w:rPr>
        <w:t>,’ de al-Kattani p. 215.</w:t>
      </w:r>
    </w:p>
    <w:bookmarkStart w:id="14" w:name="_ftn14114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"_ftnref14114"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rStyle w:val="w-footnote-textchar"/>
          <w:color w:val="000000"/>
          <w:sz w:val="22"/>
          <w:szCs w:val="22"/>
        </w:rPr>
        <w:t>“Kerala.”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rStyle w:val="w-footnote-textchar"/>
          <w:color w:val="000000"/>
          <w:sz w:val="22"/>
          <w:szCs w:val="22"/>
        </w:rPr>
        <w:t>Enciclopédia Britânica de Encyclopædia Britannica Premium Service.</w:t>
      </w:r>
      <w:proofErr w:type="gramEnd"/>
      <w:r>
        <w:rPr>
          <w:rStyle w:val="w-footnote-textchar"/>
          <w:color w:val="000000"/>
          <w:sz w:val="22"/>
          <w:szCs w:val="22"/>
        </w:rPr>
        <w:t>  (http://www.britannica.com/eb/article-9111226)</w:t>
      </w:r>
    </w:p>
    <w:bookmarkStart w:id="15" w:name="_ftn14115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"_ftnref14115"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É citado no livro “Muhammad Rasulullah,” de Muhammad Hamidullah: “Existe uma antiga tradição em Malabar, costa sudoeste da Índia, que Chakrawati Farmas, um de seus reis, observou a divisão da lua, o milagre celebrado do Sagrado Profeta, em Meca, e sabendo que havia uma previsão da chegada de um Mensageiro de Deus na Arábia, nomeou seu filho como regente e partiu para encontrá-lo.  Ele abraçou o Islã nas mãos do Profeta e quando voltava para casa, sob orientação do Profeta, morreu no porto de Zafar, Iêmen, onde a tumba do “rei indiano” foi visitada por muitos séculos.”</w:t>
      </w:r>
    </w:p>
    <w:bookmarkStart w:id="16" w:name="_ftn14116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"_ftnref14116"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 xml:space="preserve">‘Zafar: bíblico Sefar, clássico Safar, antigo lugar árabe localizado a sudoeste de Iarim, no sul do Iêmen.  Foi a capital dos Himiaritas, uma tribo que governou boa parte do sul da Arábia de 115 BC até por </w:t>
      </w:r>
      <w:proofErr w:type="gramStart"/>
      <w:r>
        <w:rPr>
          <w:rStyle w:val="w-footnote-textchar"/>
          <w:color w:val="000000"/>
          <w:sz w:val="22"/>
          <w:szCs w:val="22"/>
        </w:rPr>
        <w:t>volta</w:t>
      </w:r>
      <w:proofErr w:type="gramEnd"/>
      <w:r>
        <w:rPr>
          <w:rStyle w:val="w-footnote-textchar"/>
          <w:color w:val="000000"/>
          <w:sz w:val="22"/>
          <w:szCs w:val="22"/>
        </w:rPr>
        <w:t xml:space="preserve"> de 525 AD. Até a conquista Persa (c. 575 AD) Zafar era uma das mais importantes e celebradas cidades no sul da Arábia – um fato atestado não somente por geógrafos e historiadores árabes mas também por autores gregos e </w:t>
      </w:r>
      <w:proofErr w:type="gramStart"/>
      <w:r>
        <w:rPr>
          <w:rStyle w:val="w-footnote-textchar"/>
          <w:color w:val="000000"/>
          <w:sz w:val="22"/>
          <w:szCs w:val="22"/>
        </w:rPr>
        <w:t>romanos</w:t>
      </w:r>
      <w:proofErr w:type="gramEnd"/>
      <w:r>
        <w:rPr>
          <w:rStyle w:val="w-footnote-textchar"/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 xml:space="preserve">Após </w:t>
      </w:r>
      <w:proofErr w:type="gramStart"/>
      <w:r>
        <w:rPr>
          <w:rStyle w:val="w-footnote-textchar"/>
          <w:color w:val="000000"/>
          <w:sz w:val="22"/>
          <w:szCs w:val="22"/>
        </w:rPr>
        <w:t>a</w:t>
      </w:r>
      <w:proofErr w:type="gramEnd"/>
      <w:r>
        <w:rPr>
          <w:rStyle w:val="w-footnote-textchar"/>
          <w:color w:val="000000"/>
          <w:sz w:val="22"/>
          <w:szCs w:val="22"/>
        </w:rPr>
        <w:t xml:space="preserve"> extinção do reino de Himiar e o surgimento do Islã, Zafar gradualmente decaiu.’ </w:t>
      </w:r>
      <w:proofErr w:type="gramStart"/>
      <w:r>
        <w:rPr>
          <w:rStyle w:val="w-footnote-textchar"/>
          <w:color w:val="000000"/>
          <w:sz w:val="22"/>
          <w:szCs w:val="22"/>
        </w:rPr>
        <w:t>“Zafar.”</w:t>
      </w:r>
      <w:proofErr w:type="gramEnd"/>
      <w:r>
        <w:rPr>
          <w:rStyle w:val="w-footnote-textchar"/>
          <w:color w:val="000000"/>
          <w:sz w:val="22"/>
          <w:szCs w:val="22"/>
        </w:rPr>
        <w:t xml:space="preserve"> </w:t>
      </w:r>
      <w:proofErr w:type="gramStart"/>
      <w:r>
        <w:rPr>
          <w:rStyle w:val="w-footnote-textchar"/>
          <w:color w:val="000000"/>
          <w:sz w:val="22"/>
          <w:szCs w:val="22"/>
        </w:rPr>
        <w:t>Enciclopédia Britânica de Encyclopædia Britannica Premium Service.</w:t>
      </w:r>
      <w:proofErr w:type="gramEnd"/>
      <w:r>
        <w:rPr>
          <w:rStyle w:val="w-footnote-textchar"/>
          <w:color w:val="000000"/>
          <w:sz w:val="22"/>
          <w:szCs w:val="22"/>
        </w:rPr>
        <w:t xml:space="preserve"> (http://www.britannica.com/eb/article-9078191)</w:t>
      </w:r>
    </w:p>
    <w:bookmarkStart w:id="17" w:name="_ftn14117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"_ftnref14117"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proofErr w:type="gramStart"/>
      <w:r>
        <w:rPr>
          <w:rStyle w:val="w-footnote-textchar"/>
          <w:color w:val="000000"/>
          <w:sz w:val="22"/>
          <w:szCs w:val="22"/>
        </w:rPr>
        <w:t>‘</w:t>
      </w:r>
      <w:r>
        <w:rPr>
          <w:rStyle w:val="w-footnote-textchar"/>
          <w:i/>
          <w:iCs/>
          <w:color w:val="000000"/>
          <w:sz w:val="22"/>
          <w:szCs w:val="22"/>
        </w:rPr>
        <w:t>Al-Bidaya wal-Nihaya</w:t>
      </w:r>
      <w:r>
        <w:rPr>
          <w:rStyle w:val="w-footnote-textchar"/>
          <w:color w:val="000000"/>
          <w:sz w:val="22"/>
          <w:szCs w:val="22"/>
        </w:rPr>
        <w:t>,’ de Ibn Kathir, vol 3, p. 130.</w:t>
      </w:r>
      <w:proofErr w:type="gramEnd"/>
    </w:p>
    <w:bookmarkStart w:id="18" w:name="_ftn14118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"_ftnref14118"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[7]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Relatado por Hakim em 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Mustadrik</w:t>
      </w:r>
      <w:r>
        <w:rPr>
          <w:rStyle w:val="w-footnote-textchar"/>
          <w:color w:val="000000"/>
          <w:sz w:val="22"/>
          <w:szCs w:val="22"/>
          <w:lang w:val="pt-BR"/>
        </w:rPr>
        <w:t>’ vol 4, p. 150.  Comentários de</w:t>
      </w:r>
      <w:r>
        <w:rPr>
          <w:rStyle w:val="apple-converted-space"/>
          <w:i/>
          <w:iCs/>
          <w:color w:val="000000"/>
          <w:sz w:val="22"/>
          <w:szCs w:val="22"/>
          <w:lang w:val="pt-BR"/>
        </w:rPr>
        <w:t> 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Hakim,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‘Eu não memorizei qualquer outro relato afirmando que o Profeta comeu gengibre.’</w:t>
      </w:r>
    </w:p>
    <w:bookmarkStart w:id="19" w:name="_ftn14119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"_ftnref14119"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[8]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Al-Isaba</w:t>
      </w:r>
      <w:r>
        <w:rPr>
          <w:rStyle w:val="w-footnote-textchar"/>
          <w:color w:val="000000"/>
          <w:sz w:val="22"/>
          <w:szCs w:val="22"/>
          <w:lang w:val="pt-BR"/>
        </w:rPr>
        <w:t>’ de Ibn Hajr, vol 3.  p. 279 e 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Lisan ul-Mizan</w:t>
      </w:r>
      <w:r>
        <w:rPr>
          <w:rStyle w:val="w-footnote-textchar"/>
          <w:color w:val="000000"/>
          <w:sz w:val="22"/>
          <w:szCs w:val="22"/>
          <w:lang w:val="pt-BR"/>
        </w:rPr>
        <w:t>’ de Imam al-Dhahabi, vol. 3 p. 10 sob o nome de ‘Sarbanak’, com o qual os árabes o conheciam.</w:t>
      </w:r>
    </w:p>
    <w:bookmarkStart w:id="20" w:name="_ftn14120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"_ftnref14120"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[9]</w:t>
      </w:r>
      <w:r>
        <w:rPr>
          <w:color w:val="000000"/>
          <w:sz w:val="22"/>
          <w:szCs w:val="22"/>
        </w:rPr>
        <w:fldChar w:fldCharType="end"/>
      </w:r>
      <w:bookmarkEnd w:id="20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‘Muhammad: His Life Based on the Earliest Sources’ (</w:t>
      </w:r>
      <w:r>
        <w:rPr>
          <w:rStyle w:val="w-footnote-textchar"/>
          <w:i/>
          <w:iCs/>
          <w:color w:val="000000"/>
          <w:sz w:val="22"/>
          <w:szCs w:val="22"/>
        </w:rPr>
        <w:t>Muhammad: Sua Vida Baseada nas Primeiras Fontes</w:t>
      </w:r>
      <w:r>
        <w:rPr>
          <w:rStyle w:val="w-footnote-textchar"/>
          <w:color w:val="000000"/>
          <w:sz w:val="22"/>
          <w:szCs w:val="22"/>
        </w:rPr>
        <w:t>, em tradução livre) de Martin Lings, p. 103.</w:t>
      </w:r>
    </w:p>
    <w:bookmarkStart w:id="21" w:name="_ftn14121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"http://www.islamreligion.com/pt/articles/151/" \l "_ftnref14121"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21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Quarenta e cinco companheiros do Profeta transmitiram os relatos sobre sua Viagem Noturna e a Ascensão aos Céus.  Veja os trabalhos dos mestres em hadith: 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Azhar al-Mutanathira fi al-Ahadith al-Mutawatira</w:t>
      </w:r>
      <w:r>
        <w:rPr>
          <w:rStyle w:val="w-footnote-textchar"/>
          <w:color w:val="000000"/>
          <w:sz w:val="22"/>
          <w:szCs w:val="22"/>
          <w:lang w:val="pt-BR"/>
        </w:rPr>
        <w:t>’ de al-Suyuti p. 263 e 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Nadhm al-Mutanathira min al-Hadith al-Mutawatir</w:t>
      </w:r>
      <w:r>
        <w:rPr>
          <w:rStyle w:val="w-footnote-textchar"/>
          <w:color w:val="000000"/>
          <w:sz w:val="22"/>
          <w:szCs w:val="22"/>
          <w:lang w:val="pt-BR"/>
        </w:rPr>
        <w:t>,’ de al-Kattani p. 207.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Existem muitos outros milagres que o Profeta realizou relatados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Sunnah, ou coletânea de ditos, atos, aprovações e descrições do Profeta.</w:t>
      </w:r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Tronco da Árvore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 Medina Muhammad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costumava fazer sermões apoiado sobre o tronco de uma árvore.</w:t>
      </w:r>
      <w:proofErr w:type="gramEnd"/>
      <w:r>
        <w:rPr>
          <w:color w:val="000000"/>
          <w:sz w:val="26"/>
          <w:szCs w:val="26"/>
          <w:lang w:val="pt-BR"/>
        </w:rPr>
        <w:t>  Quando o número de adoradores aumentou, alguém sugeriu que um púlpito fosse construído para que ele pudesse usá-lo para fazer o sermão.  Quando o púlpito foi construído, ele abandonou o tronco de árvore.  Abdullah ibn Umar, um dos companheiros, foi testemunha ocular do que aconteceu.  Ouviu-se o tronco chorando e o Profeta da Misericórdia foi em sua direção e o confortou com sua mão.</w:t>
      </w:r>
      <w:bookmarkStart w:id="22" w:name="_ftnref1384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"_ftn13844" \o " Saheeh Al-Bukhari."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2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evento também é confirmado por testemunhos oculares transmitidos através dos tempos com uma cadeia ininterrupta de eruditos confiáveis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(hadith mutawatir)</w:t>
      </w:r>
      <w:r>
        <w:rPr>
          <w:color w:val="000000"/>
          <w:sz w:val="26"/>
          <w:szCs w:val="26"/>
        </w:rPr>
        <w:t>.</w:t>
      </w:r>
      <w:bookmarkStart w:id="23" w:name="_ftnref1384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"_ftn13845" \o " Mais de dez companheiros do Profeta transmitiram os relatos de ouvirem o choro do tronco de árvore.  Veja os trabalhos dos mestres em hadith: ‘Azhar al-Mutanathira fi al-Ahadith al-Mutawatira’ de al-Suyuti p. 267 e ‘Nadhm al-Mutanathira min al-Hadith al-Mutawatir,’ de al-Kattani p. 209 e ‘Shamail’ de Ibn Kathir p. 239."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3"/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A Água Corrente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 mais de uma ocasião quando as pessoas estavam em grande necessidade de água, a bênção de Muhammad as salvou.</w:t>
      </w:r>
      <w:proofErr w:type="gramEnd"/>
      <w:r>
        <w:rPr>
          <w:color w:val="000000"/>
          <w:sz w:val="26"/>
          <w:szCs w:val="26"/>
        </w:rPr>
        <w:t xml:space="preserve">  No sexto ano após ter migrado de Meca para Medina, Muhammad foi para Meca para a peregrinação.  Na longa viagem através do deserto as pessoas ficaram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água, e somente o Profeta tinha um recipiente com o qual ele realizava as abluções para as orações.  Ele colocou a sua mão no recipiente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água começou a fluir entre seus dedos.  Jabir bin Abdullah, que testemunhou o milagre, diz sobre os quinze mil homens, ‘Nós </w:t>
      </w:r>
      <w:r>
        <w:rPr>
          <w:color w:val="000000"/>
          <w:sz w:val="26"/>
          <w:szCs w:val="26"/>
        </w:rPr>
        <w:lastRenderedPageBreak/>
        <w:t>bebemos dela e fizemos ablução.’</w:t>
      </w:r>
      <w:bookmarkStart w:id="24" w:name="_ftnref1384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"_ftn13846" \o " Saheeh Al-Bukhari."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4"/>
      <w:r>
        <w:rPr>
          <w:color w:val="000000"/>
          <w:sz w:val="26"/>
          <w:szCs w:val="26"/>
          <w:lang w:val="pt-BR"/>
        </w:rPr>
        <w:t>  Esse milagre foi transmitido por uma cadeia ininterrupta de eruditos confiáveis (</w:t>
      </w:r>
      <w:r>
        <w:rPr>
          <w:i/>
          <w:iCs/>
          <w:color w:val="000000"/>
          <w:sz w:val="26"/>
          <w:szCs w:val="26"/>
          <w:lang w:val="pt-BR"/>
        </w:rPr>
        <w:t>hadith mutawatir</w:t>
      </w:r>
      <w:r>
        <w:rPr>
          <w:color w:val="000000"/>
          <w:sz w:val="26"/>
          <w:szCs w:val="26"/>
          <w:lang w:val="pt-BR"/>
        </w:rPr>
        <w:t>).</w:t>
      </w:r>
      <w:bookmarkStart w:id="25" w:name="_ftnref1384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"_ftn13847" \o " Ver ‘Nadhm al-Mutanathira min al-Hadith al-Mutawatir,’ de al-Kattani p. 212, ‘al-Shifa’ de Qadhi Iyyad, vol 1, p. 405, e ‘al-’Ilaam’ de al-Qurtubi, p. 352."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25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água brotando de dedos humanos é semelhante ao milagre de Moisés de produzir água de uma rocha.</w:t>
      </w:r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Bênção do Alimento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mais de uma ocasião 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abençoou o alimento orando ou tocando-o para que todos os presentes pudessem ter o suficiente.  </w:t>
      </w:r>
      <w:proofErr w:type="gramStart"/>
      <w:r>
        <w:rPr>
          <w:color w:val="000000"/>
          <w:sz w:val="26"/>
          <w:szCs w:val="26"/>
        </w:rPr>
        <w:t>Isso aconteceu nas vezes em que a falta de alimento e água afligiu os muçulmanos.</w:t>
      </w:r>
      <w:bookmarkStart w:id="26" w:name="_ftnref1384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"_ftn13848" \o " Saheeh Al-Bukhari.  Ver ‘Nadhm al-Mutanathira min al-Hadith al-Mutawatir,’ de al-Kattani p. 213, ‘al-Shifa’ de Qadhi Iyyad, vol 1, p. 419."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26"/>
      <w:r>
        <w:rPr>
          <w:color w:val="000000"/>
          <w:sz w:val="26"/>
          <w:szCs w:val="26"/>
          <w:lang w:val="pt-BR"/>
        </w:rPr>
        <w:t>  Esses milagres aconteceram na presença de um grande número de pessoas e não é possível, portanto, negá-los.</w:t>
      </w:r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Cura dos Doentes</w:t>
      </w:r>
    </w:p>
    <w:p w:rsidR="00D04F7C" w:rsidRDefault="00D04F7C" w:rsidP="00D04F7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Abdullah ibn Ateek quebrou sua perna e Muhammad a curou passando sua mão sobre ela.</w:t>
      </w:r>
      <w:proofErr w:type="gramEnd"/>
      <w:r>
        <w:rPr>
          <w:b/>
          <w:bCs/>
          <w:color w:val="000000"/>
          <w:sz w:val="26"/>
          <w:szCs w:val="26"/>
        </w:rPr>
        <w:t xml:space="preserve"> Abdullah disse que foi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se nada tivesse acontecido!  A pessoa que testemunhou o milagre foi outro companheiro, Bara’ ibn Azib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Durante a expedição de Khaibar, Muhammad curou os olhos doloridos de Ali ibn Abi Talib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frente de todo o exército.  </w:t>
      </w:r>
      <w:proofErr w:type="gramStart"/>
      <w:r>
        <w:rPr>
          <w:color w:val="000000"/>
          <w:sz w:val="26"/>
          <w:szCs w:val="26"/>
        </w:rPr>
        <w:t>Ali, muitos anos depois, se tornou o quarto califa dos muçulmanos.</w:t>
      </w:r>
      <w:bookmarkStart w:id="27" w:name="_ftnref1384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"_ftn13849" \o " Saheeh Al-Bukhari,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27"/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Exorcismo de Demônios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Muhammad expulsou o demônio de um menino trazido por sua mãe para que fosse curado dizendo,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‘Saia!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Eu sou Muhammad, o Mensageiro de Deus!’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mulher disse, ‘Por Aquele que o enviou com a verdade, nós nunca tínhamos visto nada de errado com ele.’</w:t>
      </w:r>
      <w:bookmarkStart w:id="28" w:name="_ftnref1385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"_ftn13850" \o " Musnad de Imam Ahmad, e Sharh’ al-Sunnah"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[7]</w:t>
      </w:r>
      <w:r>
        <w:rPr>
          <w:color w:val="000000"/>
          <w:sz w:val="26"/>
          <w:szCs w:val="26"/>
        </w:rPr>
        <w:fldChar w:fldCharType="end"/>
      </w:r>
      <w:bookmarkEnd w:id="28"/>
    </w:p>
    <w:p w:rsidR="00D04F7C" w:rsidRDefault="00D04F7C" w:rsidP="00D04F7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Orações Atendidas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           A mãe de Abu Huraira, um companheiro próximo de Muhammad, costumava falar mal do Islã e seu profeta.  Um dia Abu Huraira chegou chorando até Muhammad e pediu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que orasse para que sua mãe fosse salva.  </w:t>
      </w:r>
      <w:proofErr w:type="gramStart"/>
      <w:r>
        <w:rPr>
          <w:color w:val="000000"/>
          <w:sz w:val="26"/>
          <w:szCs w:val="26"/>
        </w:rPr>
        <w:t>Muhammad orou e quando Abu Huraira voltou para casa encontrou sua mãe pronta para aceitar o Islã.</w:t>
      </w:r>
      <w:proofErr w:type="gramEnd"/>
      <w:r>
        <w:rPr>
          <w:color w:val="000000"/>
          <w:sz w:val="26"/>
          <w:szCs w:val="26"/>
        </w:rPr>
        <w:t xml:space="preserve">  Ela fez o testemunho de fé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frente de seu filho e entrou no Islã.</w:t>
      </w:r>
      <w:bookmarkStart w:id="29" w:name="_ftnref1385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"_ftn13851" \o "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[8]</w:t>
      </w:r>
      <w:r>
        <w:rPr>
          <w:color w:val="000000"/>
          <w:sz w:val="26"/>
          <w:szCs w:val="26"/>
        </w:rPr>
        <w:fldChar w:fldCharType="end"/>
      </w:r>
      <w:bookmarkEnd w:id="29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           Jarir ibn Abdullah foi incumbido pelo Profeta de livrar a terra de idólatras, mas ele reclamou que não era capaz de montar bem um cavalo!  </w:t>
      </w:r>
      <w:proofErr w:type="gramStart"/>
      <w:r>
        <w:rPr>
          <w:color w:val="000000"/>
          <w:sz w:val="26"/>
          <w:szCs w:val="26"/>
        </w:rPr>
        <w:t>O Profeta orou por ele, ‘Ó Deus, faça dele um forte cavaleiro e faça dele alguém que guia e é guiado.’</w:t>
      </w:r>
      <w:proofErr w:type="gramEnd"/>
      <w:r>
        <w:rPr>
          <w:color w:val="000000"/>
          <w:sz w:val="26"/>
          <w:szCs w:val="26"/>
        </w:rPr>
        <w:t xml:space="preserve">   Jarir testemunhou que ele nunca caiu de seu cavalo após 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orar por ele.</w:t>
      </w:r>
      <w:bookmarkStart w:id="30" w:name="_ftnref1385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"_ftn13852" \o "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[9]</w:t>
      </w:r>
      <w:r>
        <w:rPr>
          <w:color w:val="000000"/>
          <w:sz w:val="26"/>
          <w:szCs w:val="26"/>
        </w:rPr>
        <w:fldChar w:fldCharType="end"/>
      </w:r>
      <w:bookmarkEnd w:id="30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(3)            As pessoas estavam afetadas pela fome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o tempo de Muhammad.  Um homem ficou de pé quando Muhammad estava fazendo sermão semanal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sexta-feira e disse: ‘Ó Mensageiro de Deus, nossa fortuna foi destruída e nossos filhos estão passando fome. </w:t>
      </w:r>
      <w:proofErr w:type="gramStart"/>
      <w:r>
        <w:rPr>
          <w:color w:val="000000"/>
          <w:sz w:val="26"/>
          <w:szCs w:val="26"/>
        </w:rPr>
        <w:t>Ore a Deus por nós.’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Muhammad elevou suas mãos em oração.</w:t>
      </w:r>
      <w:proofErr w:type="gramEnd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Aqueles que estavam presentes testemunharam que no momento que ele baixou suas mãos as nuvens começaram a se formar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montanhas!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Quando ele desceu de seu púlpito, a chuva estava pingando de sua barba!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Choveu uma semana inteira até a próxima sexta-feira!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mesmo homem se levantou novamente e, dessa vez, reclamou: ‘Ó Mensageiro de Deus, nossas edificações estão destruídas e nossa propriedade está submersa, ore a Deus por nós!’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Muhammad elevou suas mãos e orou: ‘Ó Deus, permita que chova ao nosso redor,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não sobre nós.’</w:t>
      </w:r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Aqueles que estavam presentes testemunharam que as nuvens se retiraram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direção que ele apontou, e a cidade de Medina ficou cercada pelas nuvens, mas não tinha nenhuma nuvem sobre ela!</w:t>
      </w:r>
      <w:bookmarkStart w:id="31" w:name="_ftnref1385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"_ftn13853" \o " Saheeh Al-Bukhar,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31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            Aqui está a bela história de Jabir.  </w:t>
      </w:r>
      <w:proofErr w:type="gramStart"/>
      <w:r>
        <w:rPr>
          <w:color w:val="000000"/>
          <w:sz w:val="26"/>
          <w:szCs w:val="26"/>
        </w:rPr>
        <w:t>Ele testemunhou que uma vez o camelo no qual ele cavalgava estava exausto e, por causa disso, era usado para carregar água.</w:t>
      </w:r>
      <w:proofErr w:type="gramEnd"/>
      <w:r>
        <w:rPr>
          <w:color w:val="000000"/>
          <w:sz w:val="26"/>
          <w:szCs w:val="26"/>
        </w:rPr>
        <w:t xml:space="preserve">  O camelo mal podia andar.  </w:t>
      </w:r>
      <w:proofErr w:type="gramStart"/>
      <w:r>
        <w:rPr>
          <w:color w:val="000000"/>
          <w:sz w:val="26"/>
          <w:szCs w:val="26"/>
        </w:rPr>
        <w:t>Muhammad lhe perguntou, ‘Qual o problema com seu camelo?’</w:t>
      </w:r>
      <w:proofErr w:type="gramEnd"/>
      <w:r>
        <w:rPr>
          <w:color w:val="000000"/>
          <w:sz w:val="26"/>
          <w:szCs w:val="26"/>
        </w:rPr>
        <w:t xml:space="preserve">  Ao descobrir o quanto o pobre camelo estava cansado, Muhammad orou pelo pobre animal e daquele dia em diante, nos conta Jabir, o camelo estava sempre à frente dos outros!  </w:t>
      </w:r>
      <w:proofErr w:type="gramStart"/>
      <w:r>
        <w:rPr>
          <w:color w:val="000000"/>
          <w:sz w:val="26"/>
          <w:szCs w:val="26"/>
        </w:rPr>
        <w:t>Muhammad perguntou a Jabir, ‘Como está seu camelo?’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Jabir respondeu, ‘Está bem, sua bênção o alcançou!’</w:t>
      </w:r>
      <w:proofErr w:type="gramEnd"/>
      <w:r>
        <w:rPr>
          <w:color w:val="000000"/>
          <w:sz w:val="26"/>
          <w:szCs w:val="26"/>
        </w:rPr>
        <w:t xml:space="preserve">  Muhammad comprou o camelo de Jabir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hora pagando com uma moeda de ouro, com a condição de que Jabir o cavalgasse de volta até a cidade! Ao chegar a Medina, Jabir disse que levou o camelo para Muhammad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manhã seguinte.  Muhammad deu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a moeda de ouro e lhe disse para manter seu camelo!</w:t>
      </w:r>
      <w:bookmarkStart w:id="32" w:name="_ftnref1385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"http://www.islamreligion.com/pt/articles/152/" \l "_ftn13854" \o " Saheeh Al-Bukhar,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[11]</w:t>
      </w:r>
      <w:r>
        <w:rPr>
          <w:color w:val="000000"/>
          <w:sz w:val="26"/>
          <w:szCs w:val="26"/>
        </w:rPr>
        <w:fldChar w:fldCharType="end"/>
      </w:r>
      <w:bookmarkEnd w:id="32"/>
    </w:p>
    <w:p w:rsidR="00D04F7C" w:rsidRDefault="00D04F7C" w:rsidP="00D04F7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Não é de admirar que aqueles à sua </w:t>
      </w:r>
      <w:proofErr w:type="gramStart"/>
      <w:r>
        <w:rPr>
          <w:color w:val="000000"/>
          <w:sz w:val="26"/>
          <w:szCs w:val="26"/>
        </w:rPr>
        <w:t>volta</w:t>
      </w:r>
      <w:proofErr w:type="gramEnd"/>
      <w:r>
        <w:rPr>
          <w:color w:val="000000"/>
          <w:sz w:val="26"/>
          <w:szCs w:val="26"/>
        </w:rPr>
        <w:t xml:space="preserve"> que testemunharam esses grandes milagres, realizados na frente de multidões, estavam certos de sua autenticidade.</w:t>
      </w:r>
    </w:p>
    <w:p w:rsidR="00D04F7C" w:rsidRDefault="00D04F7C" w:rsidP="00D04F7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04F7C" w:rsidRDefault="00D04F7C" w:rsidP="00D04F7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D04F7C" w:rsidRDefault="00D04F7C" w:rsidP="00D04F7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3" w:name="_ftn13844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"_ftnref13844"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3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Al-Bukhari</w:t>
      </w:r>
      <w:r>
        <w:rPr>
          <w:color w:val="000000"/>
          <w:sz w:val="22"/>
          <w:szCs w:val="22"/>
        </w:rPr>
        <w:t>.</w:t>
      </w:r>
    </w:p>
    <w:bookmarkStart w:id="34" w:name="_ftn13845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"_ftnref13845"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4"/>
      <w:r>
        <w:rPr>
          <w:rStyle w:val="apple-converted-space"/>
          <w:color w:val="000000"/>
          <w:position w:val="2"/>
          <w:sz w:val="20"/>
          <w:szCs w:val="20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Mais de dez companheiros do Profeta transmitiram os relatos de ouvirem o choro do tronco de árvore.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 Veja os trabalhos dos mestres em hadith: ‘</w:t>
      </w:r>
      <w:r>
        <w:rPr>
          <w:rStyle w:val="w-footnote-textchar"/>
          <w:i/>
          <w:iCs/>
          <w:color w:val="000000"/>
          <w:sz w:val="22"/>
          <w:szCs w:val="22"/>
        </w:rPr>
        <w:t>Azhar al-Mutanathira fi al-Ahadith al-Mutawatira</w:t>
      </w:r>
      <w:r>
        <w:rPr>
          <w:rStyle w:val="w-footnote-textchar"/>
          <w:color w:val="000000"/>
          <w:sz w:val="22"/>
          <w:szCs w:val="22"/>
        </w:rPr>
        <w:t>’ de al-Suyuti p. 267 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‘Nadhm al-Mutanathira min al-Hadith al-Mutawatir,’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de al-Kattani p. 209 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‘Shamail’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de Ibn Kathir p. 239.</w:t>
      </w:r>
    </w:p>
    <w:bookmarkStart w:id="35" w:name="_ftn13846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"_ftnref13846"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35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Al-Bukhari.</w:t>
      </w:r>
    </w:p>
    <w:bookmarkStart w:id="36" w:name="_ftn13847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"_ftnref13847"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36"/>
      <w:r>
        <w:rPr>
          <w:rStyle w:val="apple-converted-space"/>
          <w:color w:val="000000"/>
          <w:position w:val="2"/>
          <w:sz w:val="20"/>
          <w:szCs w:val="20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Ver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‘Nadhm al-Mutanathira min al-Hadith al-Mutawatir,’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de al-Kattani p. 212, 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al-Shifa</w:t>
      </w:r>
      <w:r>
        <w:rPr>
          <w:rStyle w:val="w-footnote-textchar"/>
          <w:color w:val="000000"/>
          <w:sz w:val="22"/>
          <w:szCs w:val="22"/>
          <w:lang w:val="pt-BR"/>
        </w:rPr>
        <w:t>’ de Qadhi Iyyad, vol 1, p. 405, e ‘</w:t>
      </w:r>
      <w:r>
        <w:rPr>
          <w:rStyle w:val="w-footnote-textchar"/>
          <w:i/>
          <w:iCs/>
          <w:color w:val="000000"/>
          <w:sz w:val="22"/>
          <w:szCs w:val="22"/>
          <w:lang w:val="pt-BR"/>
        </w:rPr>
        <w:t>al-’Ilaam</w:t>
      </w:r>
      <w:r>
        <w:rPr>
          <w:rStyle w:val="w-footnote-textchar"/>
          <w:color w:val="000000"/>
          <w:sz w:val="22"/>
          <w:szCs w:val="22"/>
          <w:lang w:val="pt-BR"/>
        </w:rPr>
        <w:t>’ de al-Qurtubi, p. 352.</w:t>
      </w:r>
    </w:p>
    <w:bookmarkStart w:id="37" w:name="_ftn13848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"_ftnref13848"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37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Al-Bukhari</w:t>
      </w:r>
      <w:r>
        <w:rPr>
          <w:rStyle w:val="w-footnote-textchar"/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 </w:t>
      </w:r>
      <w:proofErr w:type="gramStart"/>
      <w:r>
        <w:rPr>
          <w:rStyle w:val="w-footnote-textchar"/>
          <w:color w:val="000000"/>
          <w:sz w:val="22"/>
          <w:szCs w:val="22"/>
        </w:rPr>
        <w:t>Ver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‘Nadhm al-Mutanathira min al-Hadith al-Mutawatir,’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de al-Kattani p. 213,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‘al-Shifa’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de Qadhi Iyyad, vol 1, p. 419.</w:t>
      </w:r>
      <w:proofErr w:type="gramEnd"/>
    </w:p>
    <w:bookmarkStart w:id="38" w:name="_ftn13849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"_ftnref13849"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38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Al-Bukhari</w:t>
      </w:r>
      <w:r>
        <w:rPr>
          <w:rStyle w:val="w-footnote-textchar"/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Muslim</w:t>
      </w:r>
    </w:p>
    <w:bookmarkStart w:id="39" w:name="_ftn13850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"_ftnref13850"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[7]</w:t>
      </w:r>
      <w:r>
        <w:rPr>
          <w:color w:val="000000"/>
          <w:sz w:val="22"/>
          <w:szCs w:val="22"/>
        </w:rPr>
        <w:fldChar w:fldCharType="end"/>
      </w:r>
      <w:bookmarkEnd w:id="39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Musnad de Imam Ahmad</w:t>
      </w:r>
      <w:r>
        <w:rPr>
          <w:rStyle w:val="w-footnote-textchar"/>
          <w:color w:val="000000"/>
          <w:sz w:val="22"/>
          <w:szCs w:val="22"/>
        </w:rPr>
        <w:t>, 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Sharh’ al-Sunnah</w:t>
      </w:r>
    </w:p>
    <w:bookmarkStart w:id="40" w:name="_ftn13851"/>
    <w:p w:rsidR="00D04F7C" w:rsidRDefault="00D04F7C" w:rsidP="00D04F7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"_ftnref13851"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[8]</w:t>
      </w:r>
      <w:r>
        <w:rPr>
          <w:color w:val="000000"/>
          <w:sz w:val="22"/>
          <w:szCs w:val="22"/>
        </w:rPr>
        <w:fldChar w:fldCharType="end"/>
      </w:r>
      <w:bookmarkEnd w:id="40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Saheeh Muslim</w:t>
      </w:r>
    </w:p>
    <w:bookmarkStart w:id="41" w:name="_ftn13852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"_ftnref13852"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[9]</w:t>
      </w:r>
      <w:r>
        <w:rPr>
          <w:color w:val="000000"/>
          <w:sz w:val="22"/>
          <w:szCs w:val="22"/>
        </w:rPr>
        <w:fldChar w:fldCharType="end"/>
      </w:r>
      <w:bookmarkEnd w:id="41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Muslim</w:t>
      </w:r>
    </w:p>
    <w:bookmarkStart w:id="42" w:name="_ftn13853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"_ftnref13853"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42"/>
      <w:r>
        <w:rPr>
          <w:rStyle w:val="apple-converted-space"/>
          <w:color w:val="000000"/>
          <w:position w:val="2"/>
          <w:sz w:val="20"/>
          <w:szCs w:val="20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Al-Bukhar</w:t>
      </w:r>
      <w:r>
        <w:rPr>
          <w:rStyle w:val="w-footnote-textchar"/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Muslim</w:t>
      </w:r>
    </w:p>
    <w:bookmarkStart w:id="43" w:name="_ftn13854"/>
    <w:p w:rsidR="00D04F7C" w:rsidRDefault="00D04F7C" w:rsidP="00D04F7C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"http://www.islamreligion.com/pt/articles/152/" \l "_ftnref13854"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[11]</w:t>
      </w:r>
      <w:r>
        <w:rPr>
          <w:color w:val="000000"/>
          <w:sz w:val="22"/>
          <w:szCs w:val="22"/>
        </w:rPr>
        <w:fldChar w:fldCharType="end"/>
      </w:r>
      <w:bookmarkEnd w:id="43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Al-Bukhar</w:t>
      </w:r>
      <w:r>
        <w:rPr>
          <w:rStyle w:val="w-footnote-textchar"/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Muslim</w:t>
      </w:r>
    </w:p>
    <w:p w:rsidR="00364BB0" w:rsidRPr="00D04F7C" w:rsidRDefault="00364BB0" w:rsidP="00D04F7C">
      <w:bookmarkStart w:id="44" w:name="_GoBack"/>
      <w:bookmarkEnd w:id="44"/>
    </w:p>
    <w:sectPr w:rsidR="00364BB0" w:rsidRPr="00D04F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F"/>
    <w:rsid w:val="00026E1E"/>
    <w:rsid w:val="000F7DEA"/>
    <w:rsid w:val="001436BB"/>
    <w:rsid w:val="00364BB0"/>
    <w:rsid w:val="00530F94"/>
    <w:rsid w:val="006103AA"/>
    <w:rsid w:val="00725ECA"/>
    <w:rsid w:val="00A70380"/>
    <w:rsid w:val="00A950D0"/>
    <w:rsid w:val="00AE5321"/>
    <w:rsid w:val="00BC1212"/>
    <w:rsid w:val="00CE2B70"/>
    <w:rsid w:val="00D04F7C"/>
    <w:rsid w:val="00E54552"/>
    <w:rsid w:val="00E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2014-07-27T11:44:00Z</cp:lastPrinted>
  <dcterms:created xsi:type="dcterms:W3CDTF">2014-07-27T11:49:00Z</dcterms:created>
  <dcterms:modified xsi:type="dcterms:W3CDTF">2014-07-27T11:49:00Z</dcterms:modified>
</cp:coreProperties>
</file>